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FE5F8" w:sz="6" w:space="15"/>
          <w:right w:val="none" w:color="auto" w:sz="0" w:space="0"/>
        </w:pBdr>
        <w:shd w:val="clear" w:fill="FFFFFF"/>
        <w:spacing w:before="300" w:beforeAutospacing="0" w:after="30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中国建设工程造价管理协会关于印发《工程造价咨询企业信用评价管理办法》的通知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 w:line="48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中价协〔2022〕26号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各省、自治区、直辖市造价管理协会、中价协各专业工作委员会，各造价咨询企业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0" w:afterAutospacing="0" w:line="420" w:lineRule="atLeast"/>
        <w:ind w:left="0" w:right="0" w:firstLine="540" w:firstLineChars="20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为适应行业新发展形势，贯彻落实国务院、住房和城乡建设部关于社会信用体系建设的工作部署，推进工程造价咨询行业信用体系建设，更加科学和规范的开展工程造价咨询企业信用评价工作，规范工程造价咨询企业从业行为,我协会对2019年发布《工程造价咨询企业信用评价管理办法》进行了修订，现将新修订后的《工程造价咨询企业信用评价管理办法》印发给你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中国建设工程造价管理协会          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 w:line="48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2022年6月20日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ODZlM2I0M2FlMTgwMzc1OWE0OTAxOWFiYzFmMzAifQ=="/>
  </w:docVars>
  <w:rsids>
    <w:rsidRoot w:val="00000000"/>
    <w:rsid w:val="417B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2022-06-27T07:17:18Z</dcterms:created>
  <dc:creator>Administrator</dc:creator>
  <cp:lastModifiedBy>孙艳春</cp:lastModifiedBy>
  <dcterms:modified xsi:type="dcterms:W3CDTF">2022-06-27T07:18:21Z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4C9993B70BCE4425B44B5B185FB3E340</vt:lpwstr>
  </property>
</Properties>
</file>